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F7FF" w14:textId="7CEB8C53" w:rsidR="002B7401" w:rsidRPr="00ED24BE" w:rsidRDefault="005C3ADB" w:rsidP="007B7D43">
      <w:pPr>
        <w:spacing w:before="200" w:line="240" w:lineRule="auto"/>
        <w:ind w:left="144"/>
        <w:rPr>
          <w:rFonts w:ascii="Franklin Gothic Demi" w:hAnsi="Franklin Gothic Demi" w:cstheme="minorHAnsi"/>
          <w:b/>
          <w:bCs/>
          <w:sz w:val="56"/>
          <w:szCs w:val="56"/>
          <w:lang w:eastAsia="ja-JP"/>
        </w:rPr>
      </w:pPr>
      <w:r w:rsidRPr="00ED24BE">
        <w:rPr>
          <w:rFonts w:ascii="Franklin Gothic Demi" w:hAnsi="Franklin Gothic Demi" w:cstheme="minorHAnsi"/>
          <w:b/>
          <w:bCs/>
          <w:noProof/>
          <w:sz w:val="56"/>
          <w:szCs w:val="56"/>
        </w:rPr>
        <mc:AlternateContent>
          <mc:Choice Requires="wps">
            <w:drawing>
              <wp:anchor distT="0" distB="0" distL="114300" distR="114300" simplePos="0" relativeHeight="251659264" behindDoc="1" locked="0" layoutInCell="1" allowOverlap="1" wp14:anchorId="2E5458C0" wp14:editId="4A7814E0">
                <wp:simplePos x="0" y="0"/>
                <wp:positionH relativeFrom="column">
                  <wp:posOffset>7620</wp:posOffset>
                </wp:positionH>
                <wp:positionV relativeFrom="paragraph">
                  <wp:posOffset>45720</wp:posOffset>
                </wp:positionV>
                <wp:extent cx="8564880" cy="609600"/>
                <wp:effectExtent l="0" t="0" r="7620" b="0"/>
                <wp:wrapNone/>
                <wp:docPr id="1" name="Rectangle 1"/>
                <wp:cNvGraphicFramePr/>
                <a:graphic xmlns:a="http://schemas.openxmlformats.org/drawingml/2006/main">
                  <a:graphicData uri="http://schemas.microsoft.com/office/word/2010/wordprocessingShape">
                    <wps:wsp>
                      <wps:cNvSpPr/>
                      <wps:spPr>
                        <a:xfrm>
                          <a:off x="0" y="0"/>
                          <a:ext cx="8564880" cy="609600"/>
                        </a:xfrm>
                        <a:prstGeom prst="rect">
                          <a:avLst/>
                        </a:prstGeom>
                        <a:solidFill>
                          <a:srgbClr val="0F8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71A87" id="Rectangle 1" o:spid="_x0000_s1026" style="position:absolute;margin-left:.6pt;margin-top:3.6pt;width:674.4pt;height:4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" fillcolor="#0f858f" stroked="f" strokeweight="2pt"/>
            </w:pict>
          </mc:Fallback>
        </mc:AlternateContent>
      </w:r>
      <w:r w:rsidR="00293F08" w:rsidRPr="00ED24BE">
        <w:rPr>
          <w:rFonts w:ascii="Franklin Gothic Demi" w:hAnsi="Franklin Gothic Demi" w:cstheme="minorHAnsi"/>
          <w:b/>
          <w:bCs/>
          <w:sz w:val="56"/>
          <w:szCs w:val="56"/>
          <w:lang w:eastAsia="ja-JP"/>
        </w:rPr>
        <w:t xml:space="preserve">Evaluative Adjectives — </w:t>
      </w:r>
      <w:r w:rsidR="002B7401" w:rsidRPr="00ED24BE">
        <w:rPr>
          <w:rFonts w:ascii="Franklin Gothic Demi" w:hAnsi="Franklin Gothic Demi" w:cstheme="minorHAnsi"/>
          <w:b/>
          <w:bCs/>
          <w:sz w:val="56"/>
          <w:szCs w:val="56"/>
          <w:lang w:eastAsia="ja-JP"/>
        </w:rPr>
        <w:t>Homework Activities</w:t>
      </w:r>
    </w:p>
    <w:p w14:paraId="06D9EA77" w14:textId="55E1D6F4" w:rsidR="007143E5" w:rsidRDefault="007143E5" w:rsidP="007143E5">
      <w:pPr>
        <w:pStyle w:val="Heading2"/>
        <w:rPr>
          <w:lang w:eastAsia="ja-JP"/>
        </w:rPr>
      </w:pPr>
      <w:r>
        <w:rPr>
          <w:lang w:eastAsia="ja-JP"/>
        </w:rPr>
        <w:t xml:space="preserve">1. </w:t>
      </w:r>
      <w:r w:rsidR="00293F08">
        <w:rPr>
          <w:lang w:eastAsia="ja-JP"/>
        </w:rPr>
        <w:t>Identify in Context</w:t>
      </w:r>
    </w:p>
    <w:p w14:paraId="5B3B3690" w14:textId="77777777" w:rsidR="00EC4AAD" w:rsidRDefault="00293F08" w:rsidP="005C3ADB">
      <w:pPr>
        <w:spacing w:after="0" w:line="240" w:lineRule="auto"/>
        <w:rPr>
          <w:rFonts w:cstheme="minorHAnsi"/>
          <w:sz w:val="24"/>
          <w:szCs w:val="24"/>
        </w:rPr>
      </w:pPr>
      <w:r w:rsidRPr="00ED24BE">
        <w:rPr>
          <w:rFonts w:cstheme="minorHAnsi"/>
          <w:sz w:val="24"/>
          <w:szCs w:val="24"/>
        </w:rPr>
        <w:t xml:space="preserve">In the </w:t>
      </w:r>
      <w:r w:rsidR="001567E4" w:rsidRPr="00ED24BE">
        <w:rPr>
          <w:rFonts w:cstheme="minorHAnsi"/>
          <w:sz w:val="24"/>
          <w:szCs w:val="24"/>
        </w:rPr>
        <w:t xml:space="preserve">two </w:t>
      </w:r>
      <w:r w:rsidRPr="00ED24BE">
        <w:rPr>
          <w:rFonts w:cstheme="minorHAnsi"/>
          <w:sz w:val="24"/>
          <w:szCs w:val="24"/>
        </w:rPr>
        <w:t xml:space="preserve">passages below, </w:t>
      </w:r>
      <w:r w:rsidR="00817610">
        <w:rPr>
          <w:rFonts w:cstheme="minorHAnsi"/>
          <w:sz w:val="24"/>
          <w:szCs w:val="24"/>
        </w:rPr>
        <w:t>identify</w:t>
      </w:r>
      <w:r w:rsidR="009A6996" w:rsidRPr="00ED24BE">
        <w:rPr>
          <w:rFonts w:cstheme="minorHAnsi"/>
          <w:sz w:val="24"/>
          <w:szCs w:val="24"/>
        </w:rPr>
        <w:t xml:space="preserve"> </w:t>
      </w:r>
      <w:r w:rsidR="009A6996" w:rsidRPr="00ED24BE">
        <w:rPr>
          <w:rFonts w:cstheme="minorHAnsi"/>
          <w:b/>
          <w:color w:val="0F858F"/>
          <w:sz w:val="24"/>
          <w:szCs w:val="24"/>
        </w:rPr>
        <w:t>only</w:t>
      </w:r>
      <w:r w:rsidR="009A6996" w:rsidRPr="00ED24BE">
        <w:rPr>
          <w:rFonts w:cstheme="minorHAnsi"/>
          <w:sz w:val="24"/>
          <w:szCs w:val="24"/>
        </w:rPr>
        <w:t xml:space="preserve"> the </w:t>
      </w:r>
      <w:r w:rsidRPr="00ED24BE">
        <w:rPr>
          <w:rFonts w:cstheme="minorHAnsi"/>
          <w:sz w:val="24"/>
          <w:szCs w:val="24"/>
        </w:rPr>
        <w:t>adjectives that are evaluative.</w:t>
      </w:r>
      <w:r w:rsidR="00817610">
        <w:rPr>
          <w:rFonts w:cstheme="minorHAnsi"/>
          <w:sz w:val="24"/>
          <w:szCs w:val="24"/>
        </w:rPr>
        <w:t xml:space="preserve"> </w:t>
      </w:r>
    </w:p>
    <w:p w14:paraId="397CD537" w14:textId="77777777" w:rsidR="00EC4AAD" w:rsidRDefault="00EC4AAD" w:rsidP="005C3ADB">
      <w:pPr>
        <w:spacing w:after="0" w:line="240" w:lineRule="auto"/>
        <w:rPr>
          <w:rFonts w:cstheme="minorHAnsi"/>
          <w:sz w:val="24"/>
          <w:szCs w:val="24"/>
        </w:rPr>
      </w:pPr>
    </w:p>
    <w:p w14:paraId="020C313C" w14:textId="06B2ABB1" w:rsidR="00293F08" w:rsidRPr="00ED24BE" w:rsidRDefault="00817610" w:rsidP="005C3ADB">
      <w:pPr>
        <w:spacing w:after="0" w:line="240" w:lineRule="auto"/>
        <w:rPr>
          <w:rFonts w:cstheme="minorHAnsi"/>
          <w:sz w:val="24"/>
          <w:szCs w:val="24"/>
        </w:rPr>
      </w:pPr>
      <w:r>
        <w:rPr>
          <w:rFonts w:cstheme="minorHAnsi"/>
          <w:sz w:val="24"/>
          <w:szCs w:val="24"/>
        </w:rPr>
        <w:t xml:space="preserve">You can use the </w:t>
      </w:r>
      <w:r w:rsidRPr="00817610">
        <w:rPr>
          <w:rFonts w:cstheme="minorHAnsi"/>
          <w:sz w:val="24"/>
          <w:szCs w:val="24"/>
          <w:highlight w:val="yellow"/>
        </w:rPr>
        <w:t>highlighter tool</w:t>
      </w:r>
      <w:r w:rsidR="00727623">
        <w:rPr>
          <w:rFonts w:cstheme="minorHAnsi"/>
          <w:sz w:val="24"/>
          <w:szCs w:val="24"/>
        </w:rPr>
        <w:t xml:space="preserve"> on the Home ribbon of M</w:t>
      </w:r>
      <w:r>
        <w:rPr>
          <w:rFonts w:cstheme="minorHAnsi"/>
          <w:sz w:val="24"/>
          <w:szCs w:val="24"/>
        </w:rPr>
        <w:t>S</w:t>
      </w:r>
      <w:r w:rsidR="00727623">
        <w:rPr>
          <w:rFonts w:cstheme="minorHAnsi"/>
          <w:sz w:val="24"/>
          <w:szCs w:val="24"/>
        </w:rPr>
        <w:t>-</w:t>
      </w:r>
      <w:bookmarkStart w:id="0" w:name="_GoBack"/>
      <w:bookmarkEnd w:id="0"/>
      <w:r>
        <w:rPr>
          <w:rFonts w:cstheme="minorHAnsi"/>
          <w:sz w:val="24"/>
          <w:szCs w:val="24"/>
        </w:rPr>
        <w:t xml:space="preserve">Word or </w:t>
      </w:r>
      <w:r w:rsidRPr="00EC4AAD">
        <w:rPr>
          <w:rFonts w:cstheme="minorHAnsi"/>
          <w:b/>
          <w:sz w:val="24"/>
          <w:szCs w:val="24"/>
        </w:rPr>
        <w:t>bold</w:t>
      </w:r>
      <w:r>
        <w:rPr>
          <w:rFonts w:cstheme="minorHAnsi"/>
          <w:sz w:val="24"/>
          <w:szCs w:val="24"/>
        </w:rPr>
        <w:t xml:space="preserve"> the adjectives that are</w:t>
      </w:r>
      <w:r w:rsidR="00EC4AAD">
        <w:rPr>
          <w:rFonts w:cstheme="minorHAnsi"/>
          <w:sz w:val="24"/>
          <w:szCs w:val="24"/>
        </w:rPr>
        <w:t xml:space="preserve"> evaluative</w:t>
      </w:r>
      <w:r>
        <w:rPr>
          <w:rFonts w:cstheme="minorHAnsi"/>
          <w:sz w:val="24"/>
          <w:szCs w:val="24"/>
        </w:rPr>
        <w:t>.</w:t>
      </w:r>
    </w:p>
    <w:p w14:paraId="6CABDA0B" w14:textId="77777777" w:rsidR="00293F08" w:rsidRDefault="00293F08" w:rsidP="005C3ADB">
      <w:pPr>
        <w:spacing w:after="0" w:line="240" w:lineRule="auto"/>
        <w:rPr>
          <w:rFonts w:ascii="Montserrat" w:hAnsi="Montserrat" w:cstheme="minorHAnsi"/>
          <w:bCs/>
          <w:sz w:val="24"/>
          <w:szCs w:val="24"/>
          <w:lang w:eastAsia="ja-JP"/>
        </w:rPr>
      </w:pPr>
    </w:p>
    <w:p w14:paraId="50059AD1" w14:textId="77777777" w:rsidR="00293F08" w:rsidRDefault="00293F08" w:rsidP="00293F08">
      <w:pPr>
        <w:spacing w:after="0" w:line="360" w:lineRule="auto"/>
        <w:rPr>
          <w:rFonts w:ascii="Times New Roman" w:eastAsia="Times New Roman" w:hAnsi="Times New Roman" w:cs="Times New Roman"/>
          <w:sz w:val="24"/>
          <w:szCs w:val="24"/>
        </w:rPr>
      </w:pPr>
      <w:r w:rsidRPr="003F7DFE">
        <w:rPr>
          <w:rFonts w:ascii="Times New Roman" w:eastAsia="Times New Roman" w:hAnsi="Times New Roman" w:cs="Times New Roman"/>
          <w:sz w:val="24"/>
          <w:szCs w:val="24"/>
        </w:rPr>
        <w:t>Death and the passage of time transform living ecological communities into the assemblages which are exhumed by palaeoecologists and archaeologists. The analysis of these remains provides the best, and often the only, indication of the composition of the original community. A sequence of death assemblages recovered from different depths in the sediment may also reveal the pattern of temporal development of the local community, providing that the factors influencing the accumulation of material remained constant over that period. Single-frame shots of the palaeocommunity can thus be run in sequence to produce a moving record, for as long as the camera kept turning. Palaeoecological information of this sort is being used increasingly to deduce conditions in the local palaeoenvironment and to help in the interpretation of short-term events in human history. This paper considers these developments in the use of death assemblages by environmental archaeologists from the point of view of ecologists concerned with extant communities (‘neoecologists’).</w:t>
      </w:r>
    </w:p>
    <w:p w14:paraId="57C9E4A6" w14:textId="77777777" w:rsidR="00293F08" w:rsidRPr="00293F08" w:rsidRDefault="00293F08" w:rsidP="00293F08">
      <w:pPr>
        <w:spacing w:before="120" w:after="0" w:line="240" w:lineRule="auto"/>
        <w:rPr>
          <w:rFonts w:eastAsia="Times New Roman" w:cstheme="minorHAnsi"/>
          <w:sz w:val="16"/>
          <w:szCs w:val="16"/>
        </w:rPr>
      </w:pPr>
      <w:r w:rsidRPr="00293F08">
        <w:rPr>
          <w:rFonts w:cstheme="minorHAnsi"/>
          <w:sz w:val="16"/>
          <w:szCs w:val="16"/>
        </w:rPr>
        <w:t xml:space="preserve">[adapted from John HR Gee &amp; Paul S Giller. 1991. Contemporary community ecology and environment archaeology. In: David R Harris &amp; Kenneth D Thomas (eds) </w:t>
      </w:r>
      <w:r w:rsidRPr="00293F08">
        <w:rPr>
          <w:rFonts w:cstheme="minorHAnsi"/>
          <w:i/>
          <w:sz w:val="16"/>
          <w:szCs w:val="16"/>
        </w:rPr>
        <w:t>Modeling ecological change</w:t>
      </w:r>
      <w:r w:rsidRPr="00293F08">
        <w:rPr>
          <w:rFonts w:cstheme="minorHAnsi"/>
          <w:sz w:val="16"/>
          <w:szCs w:val="16"/>
        </w:rPr>
        <w:t>.]</w:t>
      </w:r>
    </w:p>
    <w:p w14:paraId="51058338" w14:textId="60B04B2A" w:rsidR="00C35E60" w:rsidRPr="00810E28" w:rsidRDefault="00C35E60" w:rsidP="005C3ADB">
      <w:pPr>
        <w:spacing w:after="0" w:line="240" w:lineRule="auto"/>
        <w:rPr>
          <w:rFonts w:ascii="Montserrat" w:hAnsi="Montserrat" w:cstheme="minorHAnsi"/>
          <w:bCs/>
          <w:sz w:val="20"/>
          <w:szCs w:val="20"/>
          <w:lang w:eastAsia="ja-JP"/>
        </w:rPr>
      </w:pPr>
    </w:p>
    <w:p w14:paraId="4C9E45E2" w14:textId="77777777" w:rsidR="00293F08" w:rsidRPr="00293F08" w:rsidRDefault="00293F08" w:rsidP="00293F08">
      <w:pPr>
        <w:spacing w:after="0" w:line="360" w:lineRule="auto"/>
        <w:jc w:val="both"/>
        <w:rPr>
          <w:rFonts w:ascii="Times New Roman" w:hAnsi="Times New Roman" w:cs="Times New Roman"/>
          <w:sz w:val="24"/>
          <w:szCs w:val="24"/>
        </w:rPr>
      </w:pPr>
      <w:r w:rsidRPr="00293F08">
        <w:rPr>
          <w:rFonts w:ascii="Times New Roman" w:hAnsi="Times New Roman" w:cs="Times New Roman"/>
          <w:sz w:val="24"/>
          <w:szCs w:val="24"/>
        </w:rPr>
        <w:t>When it comes to Marvel films, I put this one right up there as one of the best. It has a great villain, great visuals, great performances, and a great narrative that tests the morals of every character. Coogler does a great high-wire balancing act managing a complex story while staying true to the comics, introducing new characters into the MCU, and making a strong social statement. I also enjoyed the struggle between T'challa and Killmonger being portrayed as less of a hero vs villain and more of one ideology vs another, both with its merits and flaws. I only wish Killmonger's violence and evil streak was toned down a bit to show off his better intentions and humanize him more, but there's so much to enjoy here that it doesn't become a huge issue. Impressive visuals, characters, and storylines come together to form a great film here.</w:t>
      </w:r>
    </w:p>
    <w:p w14:paraId="6EEBCAD0" w14:textId="25AF9519" w:rsidR="00293F08" w:rsidRPr="00293F08" w:rsidRDefault="00293F08" w:rsidP="00293F08">
      <w:pPr>
        <w:spacing w:before="120" w:after="0" w:line="240" w:lineRule="auto"/>
        <w:jc w:val="both"/>
        <w:rPr>
          <w:rFonts w:cstheme="minorHAnsi"/>
          <w:sz w:val="16"/>
          <w:szCs w:val="16"/>
        </w:rPr>
      </w:pPr>
      <w:r w:rsidRPr="00293F08">
        <w:rPr>
          <w:rFonts w:cstheme="minorHAnsi"/>
          <w:sz w:val="16"/>
          <w:szCs w:val="16"/>
        </w:rPr>
        <w:t xml:space="preserve">[adapted from Rotten Tomatoes </w:t>
      </w:r>
      <w:r w:rsidRPr="001567E4">
        <w:rPr>
          <w:rFonts w:cstheme="minorHAnsi"/>
          <w:i/>
          <w:sz w:val="16"/>
          <w:szCs w:val="16"/>
        </w:rPr>
        <w:t>Black Panther</w:t>
      </w:r>
      <w:r w:rsidRPr="00293F08">
        <w:rPr>
          <w:rFonts w:cstheme="minorHAnsi"/>
          <w:sz w:val="16"/>
          <w:szCs w:val="16"/>
        </w:rPr>
        <w:t>, accessed 05/17/2018]</w:t>
      </w:r>
    </w:p>
    <w:p w14:paraId="1CE685AC" w14:textId="25D85BC2" w:rsidR="000E7439" w:rsidRPr="007B7D43" w:rsidRDefault="001567E4" w:rsidP="007B7D43">
      <w:pPr>
        <w:pStyle w:val="Heading2"/>
      </w:pPr>
      <w:r>
        <w:t>2.</w:t>
      </w:r>
      <w:r w:rsidR="000E7439" w:rsidRPr="007B7D43">
        <w:t xml:space="preserve"> </w:t>
      </w:r>
      <w:r w:rsidR="00293F08">
        <w:t>Writing Practice</w:t>
      </w:r>
    </w:p>
    <w:p w14:paraId="181B0DAD" w14:textId="7AAF6777" w:rsidR="004F2639" w:rsidRPr="00ED24BE" w:rsidRDefault="00293F08" w:rsidP="000E7439">
      <w:pPr>
        <w:spacing w:after="0" w:line="240" w:lineRule="auto"/>
        <w:rPr>
          <w:rFonts w:cstheme="minorHAnsi"/>
          <w:sz w:val="24"/>
          <w:szCs w:val="24"/>
        </w:rPr>
      </w:pPr>
      <w:r w:rsidRPr="00ED24BE">
        <w:rPr>
          <w:rFonts w:cstheme="minorHAnsi"/>
          <w:sz w:val="24"/>
          <w:szCs w:val="24"/>
        </w:rPr>
        <w:t xml:space="preserve">In the abstract below, replace the </w:t>
      </w:r>
      <w:r w:rsidRPr="00ED24BE">
        <w:rPr>
          <w:rFonts w:cstheme="minorHAnsi"/>
          <w:b/>
          <w:color w:val="0F858F"/>
          <w:sz w:val="24"/>
          <w:szCs w:val="24"/>
        </w:rPr>
        <w:t>bolded adjectives</w:t>
      </w:r>
      <w:r w:rsidRPr="00ED24BE">
        <w:rPr>
          <w:rFonts w:cstheme="minorHAnsi"/>
          <w:color w:val="0F858F"/>
          <w:sz w:val="24"/>
          <w:szCs w:val="24"/>
        </w:rPr>
        <w:t xml:space="preserve"> </w:t>
      </w:r>
      <w:r w:rsidRPr="00ED24BE">
        <w:rPr>
          <w:rFonts w:cstheme="minorHAnsi"/>
          <w:sz w:val="24"/>
          <w:szCs w:val="24"/>
        </w:rPr>
        <w:t xml:space="preserve">with alternatives that are more suitable for </w:t>
      </w:r>
      <w:r w:rsidR="00E974B5" w:rsidRPr="00ED24BE">
        <w:rPr>
          <w:rFonts w:cstheme="minorHAnsi"/>
          <w:sz w:val="24"/>
          <w:szCs w:val="24"/>
        </w:rPr>
        <w:t xml:space="preserve">technical </w:t>
      </w:r>
      <w:r w:rsidR="00EC4AAD">
        <w:rPr>
          <w:rFonts w:cstheme="minorHAnsi"/>
          <w:sz w:val="24"/>
          <w:szCs w:val="24"/>
        </w:rPr>
        <w:t>and professional</w:t>
      </w:r>
      <w:r w:rsidRPr="00ED24BE">
        <w:rPr>
          <w:rFonts w:cstheme="minorHAnsi"/>
          <w:sz w:val="24"/>
          <w:szCs w:val="24"/>
        </w:rPr>
        <w:t xml:space="preserve"> writing.</w:t>
      </w:r>
    </w:p>
    <w:p w14:paraId="52B17387" w14:textId="3144EA74" w:rsidR="000E7439" w:rsidRDefault="000E7439" w:rsidP="000E7439">
      <w:pPr>
        <w:spacing w:after="0" w:line="240" w:lineRule="auto"/>
        <w:rPr>
          <w:rFonts w:ascii="Montserrat" w:hAnsi="Montserrat"/>
          <w:sz w:val="24"/>
          <w:szCs w:val="24"/>
        </w:rPr>
      </w:pPr>
    </w:p>
    <w:p w14:paraId="3BE32A6D" w14:textId="77424C12" w:rsidR="00293F08" w:rsidRPr="00293F08" w:rsidRDefault="00293F08" w:rsidP="001567E4">
      <w:pPr>
        <w:spacing w:after="0" w:line="360" w:lineRule="auto"/>
        <w:rPr>
          <w:rFonts w:ascii="Times New Roman" w:eastAsia="Times New Roman" w:hAnsi="Times New Roman" w:cs="Times New Roman"/>
          <w:sz w:val="24"/>
          <w:szCs w:val="24"/>
        </w:rPr>
      </w:pPr>
      <w:r w:rsidRPr="00E378DC">
        <w:rPr>
          <w:rFonts w:ascii="Times New Roman" w:eastAsia="Times New Roman" w:hAnsi="Times New Roman" w:cs="Times New Roman"/>
          <w:sz w:val="24"/>
          <w:szCs w:val="24"/>
        </w:rPr>
        <w:t xml:space="preserve">One of the </w:t>
      </w:r>
      <w:r w:rsidRPr="00817610">
        <w:rPr>
          <w:rFonts w:eastAsia="Times New Roman" w:cstheme="minorHAnsi"/>
          <w:b/>
          <w:color w:val="0F858F"/>
          <w:sz w:val="24"/>
          <w:szCs w:val="24"/>
        </w:rPr>
        <w:t>biggest</w:t>
      </w:r>
      <w:r w:rsidRPr="009A6996">
        <w:rPr>
          <w:rFonts w:ascii="Times New Roman" w:eastAsia="Times New Roman" w:hAnsi="Times New Roman" w:cs="Times New Roman"/>
          <w:b/>
          <w:color w:val="0F858F"/>
          <w:sz w:val="24"/>
          <w:szCs w:val="24"/>
        </w:rPr>
        <w:t xml:space="preserve"> </w:t>
      </w:r>
      <w:sdt>
        <w:sdtPr>
          <w:rPr>
            <w:rFonts w:ascii="Times New Roman" w:eastAsia="Times New Roman" w:hAnsi="Times New Roman" w:cs="Times New Roman"/>
            <w:b/>
            <w:color w:val="0F858F"/>
            <w:sz w:val="24"/>
            <w:szCs w:val="24"/>
          </w:rPr>
          <w:id w:val="-1837679518"/>
          <w:placeholder>
            <w:docPart w:val="DefaultPlaceholder_-1854013440"/>
          </w:placeholder>
          <w:showingPlcHdr/>
        </w:sdtPr>
        <w:sdtEndPr/>
        <w:sdtContent>
          <w:r w:rsidR="00817610" w:rsidRPr="00F35714">
            <w:rPr>
              <w:rStyle w:val="PlaceholderText"/>
            </w:rPr>
            <w:t>Click or tap here to enter text.</w:t>
          </w:r>
        </w:sdtContent>
      </w:sdt>
      <w:r>
        <w:rPr>
          <w:rFonts w:ascii="Times New Roman" w:eastAsia="Times New Roman" w:hAnsi="Times New Roman" w:cs="Times New Roman"/>
          <w:b/>
          <w:sz w:val="24"/>
          <w:szCs w:val="24"/>
        </w:rPr>
        <w:t xml:space="preserve"> </w:t>
      </w:r>
      <w:r w:rsidRPr="00E378DC">
        <w:rPr>
          <w:rFonts w:ascii="Times New Roman" w:eastAsia="Times New Roman" w:hAnsi="Times New Roman" w:cs="Times New Roman"/>
          <w:sz w:val="24"/>
          <w:szCs w:val="24"/>
        </w:rPr>
        <w:t>causes of biodiversity loss in aquatic ecosystems is instream habitat change associated with land</w:t>
      </w:r>
      <w:r w:rsidRPr="00E378DC">
        <w:rPr>
          <w:rFonts w:ascii="Cambria Math" w:eastAsia="Times New Roman" w:hAnsi="Cambria Math" w:cs="Cambria Math"/>
          <w:sz w:val="24"/>
          <w:szCs w:val="24"/>
        </w:rPr>
        <w:t>‐</w:t>
      </w:r>
      <w:r w:rsidRPr="00E378DC">
        <w:rPr>
          <w:rFonts w:ascii="Times New Roman" w:eastAsia="Times New Roman" w:hAnsi="Times New Roman" w:cs="Times New Roman"/>
          <w:sz w:val="24"/>
          <w:szCs w:val="24"/>
        </w:rPr>
        <w:t xml:space="preserve">use change in the drainage basin. Biofuel crop production is an increasingly </w:t>
      </w:r>
      <w:r w:rsidRPr="00817610">
        <w:rPr>
          <w:rFonts w:eastAsia="Times New Roman" w:cstheme="minorHAnsi"/>
          <w:b/>
          <w:color w:val="0F858F"/>
          <w:sz w:val="24"/>
          <w:szCs w:val="24"/>
        </w:rPr>
        <w:t>huge</w:t>
      </w:r>
      <w:r w:rsidRPr="009A6996">
        <w:rPr>
          <w:rFonts w:ascii="Times New Roman" w:eastAsia="Times New Roman" w:hAnsi="Times New Roman" w:cs="Times New Roman"/>
          <w:b/>
          <w:color w:val="0F858F"/>
          <w:sz w:val="24"/>
          <w:szCs w:val="24"/>
        </w:rPr>
        <w:t xml:space="preserve"> </w:t>
      </w:r>
      <w:sdt>
        <w:sdtPr>
          <w:rPr>
            <w:rFonts w:ascii="Times New Roman" w:eastAsia="Times New Roman" w:hAnsi="Times New Roman" w:cs="Times New Roman"/>
            <w:b/>
            <w:color w:val="0F858F"/>
            <w:sz w:val="24"/>
            <w:szCs w:val="24"/>
          </w:rPr>
          <w:id w:val="-1398974131"/>
          <w:placeholder>
            <w:docPart w:val="DefaultPlaceholder_-1854013440"/>
          </w:placeholder>
          <w:showingPlcHdr/>
        </w:sdtPr>
        <w:sdtEndPr/>
        <w:sdtContent>
          <w:r w:rsidR="00817610" w:rsidRPr="00F35714">
            <w:rPr>
              <w:rStyle w:val="PlaceholderText"/>
            </w:rPr>
            <w:t>Click or tap here to enter text.</w:t>
          </w:r>
        </w:sdtContent>
      </w:sdt>
      <w:r w:rsidRPr="00E378DC">
        <w:rPr>
          <w:rFonts w:ascii="Times New Roman" w:eastAsia="Times New Roman" w:hAnsi="Times New Roman" w:cs="Times New Roman"/>
          <w:sz w:val="24"/>
          <w:szCs w:val="24"/>
        </w:rPr>
        <w:t xml:space="preserve"> driver of land</w:t>
      </w:r>
      <w:r w:rsidRPr="00E378DC">
        <w:rPr>
          <w:rFonts w:ascii="Cambria Math" w:eastAsia="Times New Roman" w:hAnsi="Cambria Math" w:cs="Cambria Math"/>
          <w:sz w:val="24"/>
          <w:szCs w:val="24"/>
        </w:rPr>
        <w:t>‐</w:t>
      </w:r>
      <w:r w:rsidRPr="00E378DC">
        <w:rPr>
          <w:rFonts w:ascii="Times New Roman" w:eastAsia="Times New Roman" w:hAnsi="Times New Roman" w:cs="Times New Roman"/>
          <w:sz w:val="24"/>
          <w:szCs w:val="24"/>
        </w:rPr>
        <w:t xml:space="preserve">use change in existing agricultural drainage basins. Conceptually, biofuels such as sugarcane can provide a </w:t>
      </w:r>
      <w:r w:rsidRPr="00817610">
        <w:rPr>
          <w:rFonts w:eastAsia="Times New Roman" w:cstheme="minorHAnsi"/>
          <w:b/>
          <w:color w:val="0F858F"/>
          <w:sz w:val="24"/>
          <w:szCs w:val="24"/>
        </w:rPr>
        <w:t>great</w:t>
      </w:r>
      <w:r w:rsidR="00817610">
        <w:rPr>
          <w:rFonts w:eastAsia="Times New Roman" w:cstheme="minorHAnsi"/>
          <w:b/>
          <w:color w:val="0F858F"/>
          <w:sz w:val="24"/>
          <w:szCs w:val="24"/>
        </w:rPr>
        <w:t xml:space="preserve"> </w:t>
      </w:r>
      <w:sdt>
        <w:sdtPr>
          <w:rPr>
            <w:rFonts w:eastAsia="Times New Roman" w:cstheme="minorHAnsi"/>
            <w:b/>
            <w:color w:val="0F858F"/>
            <w:sz w:val="24"/>
            <w:szCs w:val="24"/>
          </w:rPr>
          <w:id w:val="-72434494"/>
          <w:placeholder>
            <w:docPart w:val="DefaultPlaceholder_-1854013440"/>
          </w:placeholder>
          <w:showingPlcHdr/>
        </w:sdtPr>
        <w:sdtEndPr/>
        <w:sdtContent>
          <w:r w:rsidR="00817610" w:rsidRPr="00F35714">
            <w:rPr>
              <w:rStyle w:val="PlaceholderText"/>
            </w:rPr>
            <w:t>Click or tap here to enter text.</w:t>
          </w:r>
        </w:sdtContent>
      </w:sdt>
      <w:r w:rsidRPr="009A6996">
        <w:rPr>
          <w:rFonts w:ascii="Times New Roman" w:eastAsia="Times New Roman" w:hAnsi="Times New Roman" w:cs="Times New Roman"/>
          <w:color w:val="0F858F"/>
          <w:sz w:val="24"/>
          <w:szCs w:val="24"/>
        </w:rPr>
        <w:t xml:space="preserve"> </w:t>
      </w:r>
      <w:r w:rsidRPr="00E378DC">
        <w:rPr>
          <w:rFonts w:ascii="Times New Roman" w:eastAsia="Times New Roman" w:hAnsi="Times New Roman" w:cs="Times New Roman"/>
          <w:sz w:val="24"/>
          <w:szCs w:val="24"/>
        </w:rPr>
        <w:t xml:space="preserve">alternative to fossil fuels, but little is known about the consequences of biofuel crop production for biodiversity. Thus, our aim was to investigate if and how the degree of further environmental changes at regional and local scales can influence taxonomic and functional structure of fish assemblages in agroecosystem streams. We quantified drainage basin land use, instream and riparian habitat, and fish assemblages in 38 agroecosystem streams in Brazil with drainage basins experiencing </w:t>
      </w:r>
      <w:r w:rsidRPr="00817610">
        <w:rPr>
          <w:rFonts w:eastAsia="Times New Roman" w:cstheme="minorHAnsi"/>
          <w:b/>
          <w:color w:val="0F858F"/>
          <w:sz w:val="24"/>
          <w:szCs w:val="24"/>
        </w:rPr>
        <w:t>fast</w:t>
      </w:r>
      <w:r w:rsidR="0081761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89103299"/>
          <w:placeholder>
            <w:docPart w:val="DefaultPlaceholder_-1854013440"/>
          </w:placeholder>
          <w:showingPlcHdr/>
        </w:sdtPr>
        <w:sdtEndPr/>
        <w:sdtContent>
          <w:r w:rsidR="00817610" w:rsidRPr="00F35714">
            <w:rPr>
              <w:rStyle w:val="PlaceholderText"/>
            </w:rPr>
            <w:t>Click or tap here to enter text.</w:t>
          </w:r>
        </w:sdtContent>
      </w:sdt>
      <w:r w:rsidR="00817610">
        <w:rPr>
          <w:rFonts w:ascii="Times New Roman" w:eastAsia="Times New Roman" w:hAnsi="Times New Roman" w:cs="Times New Roman"/>
          <w:sz w:val="24"/>
          <w:szCs w:val="24"/>
        </w:rPr>
        <w:t xml:space="preserve"> </w:t>
      </w:r>
      <w:r w:rsidRPr="00E378DC">
        <w:rPr>
          <w:rFonts w:ascii="Times New Roman" w:eastAsia="Times New Roman" w:hAnsi="Times New Roman" w:cs="Times New Roman"/>
          <w:sz w:val="24"/>
          <w:szCs w:val="24"/>
        </w:rPr>
        <w:t xml:space="preserve">expansion of sugarcane production, and calculated degree of environmental change and corresponding response in taxonomic and functional structure of stream fish assemblages. </w:t>
      </w:r>
      <w:r>
        <w:rPr>
          <w:rFonts w:ascii="Times New Roman" w:eastAsia="Times New Roman" w:hAnsi="Times New Roman" w:cs="Times New Roman"/>
          <w:sz w:val="24"/>
          <w:szCs w:val="24"/>
        </w:rPr>
        <w:t>[…]</w:t>
      </w:r>
      <w:r w:rsidRPr="00E378DC">
        <w:rPr>
          <w:rFonts w:ascii="Times New Roman" w:eastAsia="Times New Roman" w:hAnsi="Times New Roman" w:cs="Times New Roman"/>
          <w:sz w:val="24"/>
          <w:szCs w:val="24"/>
        </w:rPr>
        <w:t xml:space="preserve"> Our findings demonstrate that instream habitat and aquatic biodiversity in streams with agricultural drainage basins undergoing </w:t>
      </w:r>
      <w:r w:rsidRPr="00817610">
        <w:rPr>
          <w:rFonts w:eastAsia="Times New Roman" w:cstheme="minorHAnsi"/>
          <w:b/>
          <w:color w:val="0F858F"/>
          <w:sz w:val="24"/>
          <w:szCs w:val="24"/>
        </w:rPr>
        <w:t>quick</w:t>
      </w:r>
      <w:r w:rsidR="00817610">
        <w:rPr>
          <w:rFonts w:ascii="Times New Roman" w:eastAsia="Times New Roman" w:hAnsi="Times New Roman" w:cs="Times New Roman"/>
          <w:b/>
          <w:color w:val="0F858F"/>
          <w:sz w:val="24"/>
          <w:szCs w:val="24"/>
        </w:rPr>
        <w:t xml:space="preserve"> </w:t>
      </w:r>
      <w:sdt>
        <w:sdtPr>
          <w:rPr>
            <w:rFonts w:ascii="Times New Roman" w:eastAsia="Times New Roman" w:hAnsi="Times New Roman" w:cs="Times New Roman"/>
            <w:b/>
            <w:color w:val="0F858F"/>
            <w:sz w:val="24"/>
            <w:szCs w:val="24"/>
          </w:rPr>
          <w:id w:val="1916972938"/>
          <w:placeholder>
            <w:docPart w:val="DefaultPlaceholder_-1854013440"/>
          </w:placeholder>
          <w:showingPlcHdr/>
        </w:sdtPr>
        <w:sdtEndPr/>
        <w:sdtContent>
          <w:r w:rsidR="00817610" w:rsidRPr="00F35714">
            <w:rPr>
              <w:rStyle w:val="PlaceholderText"/>
            </w:rPr>
            <w:t>Click or tap here to enter text.</w:t>
          </w:r>
        </w:sdtContent>
      </w:sdt>
      <w:r w:rsidR="00817610">
        <w:rPr>
          <w:rFonts w:ascii="Times New Roman" w:eastAsia="Times New Roman" w:hAnsi="Times New Roman" w:cs="Times New Roman"/>
          <w:b/>
          <w:color w:val="0F858F"/>
          <w:sz w:val="24"/>
          <w:szCs w:val="24"/>
        </w:rPr>
        <w:t xml:space="preserve"> </w:t>
      </w:r>
      <w:r w:rsidRPr="00E378DC">
        <w:rPr>
          <w:rFonts w:ascii="Times New Roman" w:eastAsia="Times New Roman" w:hAnsi="Times New Roman" w:cs="Times New Roman"/>
          <w:sz w:val="24"/>
          <w:szCs w:val="24"/>
        </w:rPr>
        <w:t xml:space="preserve">conversion to biofuel production likely will not experience the full magnitude </w:t>
      </w:r>
      <w:r>
        <w:rPr>
          <w:rFonts w:ascii="Times New Roman" w:eastAsia="Times New Roman" w:hAnsi="Times New Roman" w:cs="Times New Roman"/>
          <w:sz w:val="24"/>
          <w:szCs w:val="24"/>
        </w:rPr>
        <w:t>of responses in the short term.</w:t>
      </w:r>
    </w:p>
    <w:sectPr w:rsidR="00293F08" w:rsidRPr="00293F08" w:rsidSect="009A6996">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D3569" w14:textId="77777777" w:rsidR="00620709" w:rsidRDefault="00620709" w:rsidP="007B7D43">
      <w:pPr>
        <w:spacing w:after="0" w:line="240" w:lineRule="auto"/>
      </w:pPr>
      <w:r>
        <w:separator/>
      </w:r>
    </w:p>
  </w:endnote>
  <w:endnote w:type="continuationSeparator" w:id="0">
    <w:p w14:paraId="01CDF3D0" w14:textId="77777777" w:rsidR="00620709" w:rsidRDefault="00620709" w:rsidP="007B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Montserrat">
    <w:altName w:val="Copperplate Gothic Bold"/>
    <w:charset w:val="00"/>
    <w:family w:val="auto"/>
    <w:pitch w:val="variable"/>
    <w:sig w:usb0="00000003"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3CFB7" w14:textId="77777777" w:rsidR="00620709" w:rsidRDefault="00620709" w:rsidP="007B7D43">
      <w:pPr>
        <w:spacing w:after="0" w:line="240" w:lineRule="auto"/>
      </w:pPr>
      <w:r>
        <w:separator/>
      </w:r>
    </w:p>
  </w:footnote>
  <w:footnote w:type="continuationSeparator" w:id="0">
    <w:p w14:paraId="50C75AF4" w14:textId="77777777" w:rsidR="00620709" w:rsidRDefault="00620709" w:rsidP="007B7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B525C"/>
    <w:multiLevelType w:val="hybridMultilevel"/>
    <w:tmpl w:val="3A1A4F80"/>
    <w:lvl w:ilvl="0" w:tplc="970C0FB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EF47F3"/>
    <w:multiLevelType w:val="hybridMultilevel"/>
    <w:tmpl w:val="3A8C730C"/>
    <w:lvl w:ilvl="0" w:tplc="970C0FB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01"/>
    <w:rsid w:val="000E7439"/>
    <w:rsid w:val="001567E4"/>
    <w:rsid w:val="00243F1C"/>
    <w:rsid w:val="00293F08"/>
    <w:rsid w:val="002B7401"/>
    <w:rsid w:val="00361B66"/>
    <w:rsid w:val="00386FC1"/>
    <w:rsid w:val="003930AE"/>
    <w:rsid w:val="003C6C4B"/>
    <w:rsid w:val="00467224"/>
    <w:rsid w:val="004F2639"/>
    <w:rsid w:val="00541C61"/>
    <w:rsid w:val="005C3ADB"/>
    <w:rsid w:val="00620709"/>
    <w:rsid w:val="00685815"/>
    <w:rsid w:val="007143E5"/>
    <w:rsid w:val="00727623"/>
    <w:rsid w:val="007B7D43"/>
    <w:rsid w:val="00810E28"/>
    <w:rsid w:val="00817610"/>
    <w:rsid w:val="00832781"/>
    <w:rsid w:val="009A6996"/>
    <w:rsid w:val="009C3FB5"/>
    <w:rsid w:val="00AB7320"/>
    <w:rsid w:val="00C16DBE"/>
    <w:rsid w:val="00C35E60"/>
    <w:rsid w:val="00C40199"/>
    <w:rsid w:val="00C52AD3"/>
    <w:rsid w:val="00CB14F0"/>
    <w:rsid w:val="00CB2845"/>
    <w:rsid w:val="00CC2030"/>
    <w:rsid w:val="00D05EEF"/>
    <w:rsid w:val="00D73D7D"/>
    <w:rsid w:val="00E321D0"/>
    <w:rsid w:val="00E33705"/>
    <w:rsid w:val="00E974B5"/>
    <w:rsid w:val="00EC4AAD"/>
    <w:rsid w:val="00ED24BE"/>
    <w:rsid w:val="00F133B8"/>
    <w:rsid w:val="00F50999"/>
    <w:rsid w:val="00F9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9FC0"/>
  <w15:chartTrackingRefBased/>
  <w15:docId w15:val="{EC240AFA-B6F4-43EB-9FD5-9425C263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17610"/>
    <w:pPr>
      <w:keepNext/>
      <w:keepLines/>
      <w:spacing w:before="360" w:after="240"/>
      <w:outlineLvl w:val="1"/>
    </w:pPr>
    <w:rPr>
      <w:rFonts w:ascii="Franklin Gothic Demi" w:eastAsiaTheme="majorEastAsia" w:hAnsi="Franklin Gothic Demi" w:cstheme="majorBidi"/>
      <w:color w:val="E97D25"/>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01"/>
    <w:pPr>
      <w:spacing w:after="160" w:line="259" w:lineRule="auto"/>
      <w:ind w:left="720"/>
      <w:contextualSpacing/>
    </w:pPr>
  </w:style>
  <w:style w:type="table" w:styleId="GridTable3-Accent6">
    <w:name w:val="Grid Table 3 Accent 6"/>
    <w:basedOn w:val="TableNormal"/>
    <w:uiPriority w:val="48"/>
    <w:rsid w:val="002B740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2-Accent6">
    <w:name w:val="Grid Table 2 Accent 6"/>
    <w:basedOn w:val="TableNormal"/>
    <w:uiPriority w:val="47"/>
    <w:rsid w:val="002B740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2Char">
    <w:name w:val="Heading 2 Char"/>
    <w:basedOn w:val="DefaultParagraphFont"/>
    <w:link w:val="Heading2"/>
    <w:uiPriority w:val="9"/>
    <w:rsid w:val="00817610"/>
    <w:rPr>
      <w:rFonts w:ascii="Franklin Gothic Demi" w:eastAsiaTheme="majorEastAsia" w:hAnsi="Franklin Gothic Demi" w:cstheme="majorBidi"/>
      <w:color w:val="E97D25"/>
      <w:sz w:val="32"/>
      <w:szCs w:val="26"/>
    </w:rPr>
  </w:style>
  <w:style w:type="table" w:styleId="TableGrid">
    <w:name w:val="Table Grid"/>
    <w:basedOn w:val="TableNormal"/>
    <w:uiPriority w:val="59"/>
    <w:rsid w:val="0046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43"/>
  </w:style>
  <w:style w:type="paragraph" w:styleId="Footer">
    <w:name w:val="footer"/>
    <w:basedOn w:val="Normal"/>
    <w:link w:val="FooterChar"/>
    <w:uiPriority w:val="99"/>
    <w:unhideWhenUsed/>
    <w:rsid w:val="007B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43"/>
  </w:style>
  <w:style w:type="character" w:styleId="PlaceholderText">
    <w:name w:val="Placeholder Text"/>
    <w:basedOn w:val="DefaultParagraphFont"/>
    <w:uiPriority w:val="99"/>
    <w:semiHidden/>
    <w:rsid w:val="00817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3C6C0F6-1105-44B5-AC3E-9E663B83AC06}"/>
      </w:docPartPr>
      <w:docPartBody>
        <w:p w:rsidR="00D710CA" w:rsidRDefault="002C39D0">
          <w:r w:rsidRPr="00F35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Montserrat">
    <w:altName w:val="Copperplate Gothic Bold"/>
    <w:charset w:val="00"/>
    <w:family w:val="auto"/>
    <w:pitch w:val="variable"/>
    <w:sig w:usb0="00000003"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D0"/>
    <w:rsid w:val="000E4188"/>
    <w:rsid w:val="002C39D0"/>
    <w:rsid w:val="00D710CA"/>
    <w:rsid w:val="00EB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1D7B-F262-4B59-8AAF-BAA969DC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Boettger</dc:creator>
  <cp:keywords/>
  <dc:description/>
  <cp:lastModifiedBy>Boettger, Ryan</cp:lastModifiedBy>
  <cp:revision>8</cp:revision>
  <dcterms:created xsi:type="dcterms:W3CDTF">2018-09-09T20:19:00Z</dcterms:created>
  <dcterms:modified xsi:type="dcterms:W3CDTF">2019-01-23T21:54:00Z</dcterms:modified>
</cp:coreProperties>
</file>